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EE" w:rsidRPr="00936215" w:rsidRDefault="00162EEE" w:rsidP="00037265">
      <w:pPr>
        <w:spacing w:line="560" w:lineRule="exact"/>
        <w:rPr>
          <w:rFonts w:cs="Times New Roman"/>
          <w:color w:val="000000"/>
          <w:kern w:val="0"/>
          <w:szCs w:val="30"/>
        </w:rPr>
      </w:pPr>
      <w:r w:rsidRPr="00936215">
        <w:rPr>
          <w:rFonts w:cs="Times New Roman"/>
          <w:color w:val="000000"/>
          <w:kern w:val="0"/>
          <w:szCs w:val="30"/>
        </w:rPr>
        <w:t>附件</w:t>
      </w:r>
      <w:r w:rsidRPr="00936215">
        <w:rPr>
          <w:rFonts w:cs="Times New Roman"/>
          <w:color w:val="000000"/>
          <w:kern w:val="0"/>
          <w:szCs w:val="30"/>
        </w:rPr>
        <w:t>1</w:t>
      </w:r>
      <w:r w:rsidRPr="00936215">
        <w:rPr>
          <w:rFonts w:cs="Times New Roman"/>
          <w:color w:val="000000"/>
          <w:kern w:val="0"/>
          <w:szCs w:val="30"/>
        </w:rPr>
        <w:t>：</w:t>
      </w:r>
    </w:p>
    <w:p w:rsidR="00162EEE" w:rsidRPr="0052723A" w:rsidRDefault="00162EEE" w:rsidP="0052723A">
      <w:pPr>
        <w:spacing w:line="560" w:lineRule="exact"/>
        <w:jc w:val="center"/>
        <w:rPr>
          <w:rFonts w:eastAsia="华文中宋" w:cs="Times New Roman"/>
          <w:color w:val="000000"/>
          <w:kern w:val="0"/>
          <w:sz w:val="32"/>
          <w:szCs w:val="30"/>
        </w:rPr>
      </w:pPr>
      <w:r w:rsidRPr="0052723A">
        <w:rPr>
          <w:rFonts w:eastAsia="华文中宋" w:cs="Times New Roman"/>
          <w:color w:val="000000"/>
          <w:kern w:val="0"/>
          <w:sz w:val="32"/>
          <w:szCs w:val="30"/>
        </w:rPr>
        <w:t>中国教育后勤协会</w:t>
      </w:r>
      <w:r w:rsidRPr="0052723A">
        <w:rPr>
          <w:rFonts w:eastAsia="华文中宋" w:cs="Times New Roman"/>
          <w:color w:val="000000"/>
          <w:kern w:val="0"/>
          <w:sz w:val="32"/>
          <w:szCs w:val="30"/>
        </w:rPr>
        <w:t>2019</w:t>
      </w:r>
      <w:r w:rsidRPr="0052723A">
        <w:rPr>
          <w:rFonts w:eastAsia="华文中宋" w:cs="Times New Roman"/>
          <w:color w:val="000000"/>
          <w:kern w:val="0"/>
          <w:sz w:val="32"/>
          <w:szCs w:val="30"/>
        </w:rPr>
        <w:t>年课题指南</w:t>
      </w:r>
    </w:p>
    <w:p w:rsidR="00C330B5" w:rsidRDefault="00C330B5" w:rsidP="00372DF0">
      <w:pPr>
        <w:spacing w:line="500" w:lineRule="exact"/>
        <w:ind w:firstLineChars="200" w:firstLine="600"/>
        <w:rPr>
          <w:rFonts w:eastAsia="黑体" w:cs="Times New Roman"/>
          <w:color w:val="000000"/>
          <w:kern w:val="0"/>
          <w:szCs w:val="30"/>
        </w:rPr>
      </w:pPr>
    </w:p>
    <w:p w:rsidR="00162EEE" w:rsidRPr="00936215" w:rsidRDefault="00162EEE" w:rsidP="00372DF0">
      <w:pPr>
        <w:spacing w:line="500" w:lineRule="exact"/>
        <w:ind w:firstLineChars="200" w:firstLine="600"/>
        <w:rPr>
          <w:rFonts w:eastAsia="黑体" w:cs="Times New Roman"/>
          <w:color w:val="000000"/>
          <w:kern w:val="0"/>
          <w:szCs w:val="30"/>
        </w:rPr>
      </w:pPr>
      <w:r w:rsidRPr="00936215">
        <w:rPr>
          <w:rFonts w:eastAsia="黑体" w:cs="Times New Roman"/>
          <w:color w:val="000000"/>
          <w:kern w:val="0"/>
          <w:szCs w:val="30"/>
        </w:rPr>
        <w:t>（一）重点研究课题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1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新时代高校后勤保障体系顶层设计与配套政策研究</w:t>
      </w:r>
      <w:r w:rsidRPr="00936215">
        <w:rPr>
          <w:rFonts w:cs="Times New Roman"/>
          <w:szCs w:val="30"/>
        </w:rPr>
        <w:t xml:space="preserve"> 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2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多校区大学后勤管理的现状、问题与对策研究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3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color w:val="000000" w:themeColor="text1"/>
          <w:szCs w:val="30"/>
        </w:rPr>
        <w:t>国家推进高校事业单位改革对后勤影响与对策研究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4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高校后勤系统参与全员全过程全方位育人实证研究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5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color w:val="000000" w:themeColor="text1"/>
          <w:szCs w:val="30"/>
        </w:rPr>
        <w:t>高校后勤系统承担大学生劳动课教学任务实证研究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color w:val="000000" w:themeColor="text1"/>
          <w:szCs w:val="30"/>
        </w:rPr>
      </w:pPr>
      <w:r w:rsidRPr="00936215">
        <w:rPr>
          <w:rFonts w:cs="Times New Roman"/>
          <w:color w:val="000000" w:themeColor="text1"/>
          <w:szCs w:val="30"/>
        </w:rPr>
        <w:t>6</w:t>
      </w:r>
      <w:r w:rsidR="00372DF0">
        <w:rPr>
          <w:rFonts w:cs="Times New Roman"/>
          <w:color w:val="000000" w:themeColor="text1"/>
          <w:szCs w:val="30"/>
        </w:rPr>
        <w:t>.</w:t>
      </w:r>
      <w:r w:rsidRPr="00936215">
        <w:rPr>
          <w:rFonts w:cs="Times New Roman"/>
          <w:color w:val="000000" w:themeColor="text1"/>
          <w:szCs w:val="30"/>
        </w:rPr>
        <w:t>高等教育现代化对后勤管理服务人员职业要求</w:t>
      </w:r>
      <w:bookmarkStart w:id="0" w:name="_Hlk3940742"/>
      <w:r w:rsidRPr="00936215">
        <w:rPr>
          <w:rFonts w:cs="Times New Roman"/>
          <w:color w:val="000000" w:themeColor="text1"/>
          <w:szCs w:val="30"/>
        </w:rPr>
        <w:t>研究</w:t>
      </w:r>
      <w:bookmarkEnd w:id="0"/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color w:val="000000" w:themeColor="text1"/>
          <w:szCs w:val="30"/>
        </w:rPr>
      </w:pPr>
      <w:r w:rsidRPr="00936215">
        <w:rPr>
          <w:rFonts w:cs="Times New Roman"/>
          <w:color w:val="000000" w:themeColor="text1"/>
          <w:szCs w:val="30"/>
        </w:rPr>
        <w:t>7</w:t>
      </w:r>
      <w:r w:rsidR="00372DF0">
        <w:rPr>
          <w:rFonts w:cs="Times New Roman"/>
          <w:color w:val="000000" w:themeColor="text1"/>
          <w:szCs w:val="30"/>
        </w:rPr>
        <w:t>.</w:t>
      </w:r>
      <w:r w:rsidRPr="00936215">
        <w:rPr>
          <w:rFonts w:cs="Times New Roman"/>
          <w:szCs w:val="30"/>
        </w:rPr>
        <w:t>校园消防安全典型案例、隐患排查与防范措施</w:t>
      </w:r>
      <w:r w:rsidRPr="00936215">
        <w:rPr>
          <w:rFonts w:cs="Times New Roman"/>
          <w:color w:val="000000" w:themeColor="text1"/>
          <w:szCs w:val="30"/>
        </w:rPr>
        <w:t>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color w:val="000000" w:themeColor="text1"/>
          <w:szCs w:val="30"/>
        </w:rPr>
      </w:pPr>
      <w:r w:rsidRPr="00936215">
        <w:rPr>
          <w:rFonts w:cs="Times New Roman"/>
          <w:color w:val="000000" w:themeColor="text1"/>
          <w:szCs w:val="30"/>
        </w:rPr>
        <w:t>8</w:t>
      </w:r>
      <w:r w:rsidR="00372DF0">
        <w:rPr>
          <w:rFonts w:cs="Times New Roman"/>
          <w:color w:val="000000" w:themeColor="text1"/>
          <w:szCs w:val="30"/>
        </w:rPr>
        <w:t>.</w:t>
      </w:r>
      <w:r w:rsidRPr="00936215">
        <w:rPr>
          <w:rFonts w:cs="Times New Roman"/>
          <w:color w:val="000000" w:themeColor="text1"/>
          <w:szCs w:val="30"/>
        </w:rPr>
        <w:t>高校后勤改革发展趋势预测与国外经验借鉴研究</w:t>
      </w:r>
    </w:p>
    <w:p w:rsidR="00162EEE" w:rsidRPr="00936215" w:rsidRDefault="0052723A" w:rsidP="00372DF0">
      <w:pPr>
        <w:spacing w:line="500" w:lineRule="exact"/>
        <w:ind w:firstLineChars="200" w:firstLine="600"/>
        <w:rPr>
          <w:rFonts w:cs="Times New Roman"/>
          <w:color w:val="000000" w:themeColor="text1"/>
          <w:szCs w:val="30"/>
        </w:rPr>
      </w:pPr>
      <w:r>
        <w:rPr>
          <w:rFonts w:cs="Times New Roman"/>
          <w:color w:val="000000" w:themeColor="text1"/>
          <w:szCs w:val="30"/>
        </w:rPr>
        <w:t>9</w:t>
      </w:r>
      <w:r w:rsidR="00372DF0">
        <w:rPr>
          <w:rFonts w:cs="Times New Roman"/>
          <w:color w:val="000000" w:themeColor="text1"/>
          <w:szCs w:val="30"/>
        </w:rPr>
        <w:t>.</w:t>
      </w:r>
      <w:r w:rsidR="00162EEE" w:rsidRPr="00936215">
        <w:rPr>
          <w:rFonts w:cs="Times New Roman"/>
          <w:color w:val="000000" w:themeColor="text1"/>
          <w:szCs w:val="30"/>
        </w:rPr>
        <w:t>高校学生食宿服务税收优惠政策的延续与国际比较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1</w:t>
      </w:r>
      <w:r w:rsidR="0052723A">
        <w:rPr>
          <w:rFonts w:cs="Times New Roman"/>
          <w:szCs w:val="30"/>
        </w:rPr>
        <w:t>0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校园健康饮用水情况调查、存在问题及对策研究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1</w:t>
      </w:r>
      <w:r w:rsidR="0052723A">
        <w:rPr>
          <w:rFonts w:cs="Times New Roman"/>
          <w:szCs w:val="30"/>
        </w:rPr>
        <w:t>1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校园食品安全的现状、问题及对策研究</w:t>
      </w:r>
    </w:p>
    <w:p w:rsidR="00162EEE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1</w:t>
      </w:r>
      <w:r w:rsidR="0052723A">
        <w:rPr>
          <w:rFonts w:cs="Times New Roman"/>
          <w:szCs w:val="30"/>
        </w:rPr>
        <w:t>2</w:t>
      </w:r>
      <w:r w:rsidR="00372DF0">
        <w:rPr>
          <w:rFonts w:cs="Times New Roman"/>
          <w:szCs w:val="30"/>
        </w:rPr>
        <w:t>.</w:t>
      </w:r>
      <w:r w:rsidRPr="00936215">
        <w:rPr>
          <w:rFonts w:cs="Times New Roman"/>
          <w:szCs w:val="30"/>
        </w:rPr>
        <w:t>高校校园商业服务质量体系建设研究</w:t>
      </w:r>
    </w:p>
    <w:p w:rsidR="00482A3F" w:rsidRPr="00482A3F" w:rsidRDefault="00482A3F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>
        <w:rPr>
          <w:rFonts w:cs="Times New Roman"/>
          <w:szCs w:val="30"/>
        </w:rPr>
        <w:t>13.</w:t>
      </w:r>
      <w:r>
        <w:rPr>
          <w:rFonts w:cs="Times New Roman" w:hint="eastAsia"/>
          <w:szCs w:val="30"/>
        </w:rPr>
        <w:t>贫困地区农产品进高校食堂研究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eastAsia="黑体" w:cs="Times New Roman"/>
          <w:color w:val="000000"/>
          <w:kern w:val="0"/>
          <w:szCs w:val="30"/>
        </w:rPr>
      </w:pPr>
      <w:r w:rsidRPr="00936215">
        <w:rPr>
          <w:rFonts w:eastAsia="黑体" w:cs="Times New Roman"/>
          <w:color w:val="000000"/>
          <w:kern w:val="0"/>
          <w:szCs w:val="30"/>
        </w:rPr>
        <w:t>（二）一般研究课题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eastAsia="黑体" w:cs="Times New Roman"/>
          <w:szCs w:val="30"/>
        </w:rPr>
      </w:pPr>
      <w:r w:rsidRPr="00936215">
        <w:rPr>
          <w:rFonts w:eastAsia="黑体" w:cs="Times New Roman"/>
          <w:szCs w:val="30"/>
        </w:rPr>
        <w:t xml:space="preserve">1. </w:t>
      </w:r>
      <w:r w:rsidRPr="00936215">
        <w:rPr>
          <w:rFonts w:eastAsia="黑体" w:cs="Times New Roman"/>
          <w:szCs w:val="30"/>
        </w:rPr>
        <w:t>教育后勤行业标准规范的研究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</w:t>
      </w:r>
      <w:r w:rsidRPr="00936215">
        <w:rPr>
          <w:rFonts w:cs="Times New Roman"/>
          <w:szCs w:val="30"/>
        </w:rPr>
        <w:t>）规范校园后勤市场秩序与管理行为的研究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2</w:t>
      </w:r>
      <w:r w:rsidRPr="00936215">
        <w:rPr>
          <w:rFonts w:cs="Times New Roman"/>
          <w:szCs w:val="30"/>
        </w:rPr>
        <w:t>）高校后勤标准化建设存在的问题与对策研究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3</w:t>
      </w:r>
      <w:r w:rsidRPr="00936215">
        <w:rPr>
          <w:rFonts w:cs="Times New Roman"/>
          <w:szCs w:val="30"/>
        </w:rPr>
        <w:t>）高校后勤管理服务贯彻执行行业标准的研究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4</w:t>
      </w:r>
      <w:r w:rsidRPr="00936215">
        <w:rPr>
          <w:rFonts w:cs="Times New Roman"/>
          <w:szCs w:val="30"/>
        </w:rPr>
        <w:t>）高校食堂原料招标采购的问题与对策研究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5</w:t>
      </w:r>
      <w:r w:rsidRPr="00936215">
        <w:rPr>
          <w:rFonts w:cs="Times New Roman"/>
          <w:szCs w:val="30"/>
        </w:rPr>
        <w:t>）高校物业服务招标经验、问题与对策研究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6</w:t>
      </w:r>
      <w:r w:rsidRPr="00936215">
        <w:rPr>
          <w:rFonts w:cs="Times New Roman"/>
          <w:szCs w:val="30"/>
        </w:rPr>
        <w:t>）高校水电暖能源耗用调查与推荐标准研究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7</w:t>
      </w:r>
      <w:r w:rsidRPr="00936215">
        <w:rPr>
          <w:rFonts w:cs="Times New Roman"/>
          <w:szCs w:val="30"/>
        </w:rPr>
        <w:t>）提升高校维修服务质量与运行效能的研究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8</w:t>
      </w:r>
      <w:r w:rsidRPr="00936215">
        <w:rPr>
          <w:rFonts w:cs="Times New Roman"/>
          <w:szCs w:val="30"/>
        </w:rPr>
        <w:t>）高校教室图书馆照明节能改造的研究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kern w:val="0"/>
          <w:szCs w:val="30"/>
        </w:rPr>
      </w:pPr>
      <w:r w:rsidRPr="00936215">
        <w:rPr>
          <w:rFonts w:cs="Times New Roman"/>
          <w:szCs w:val="30"/>
        </w:rPr>
        <w:lastRenderedPageBreak/>
        <w:t>（</w:t>
      </w:r>
      <w:r w:rsidRPr="00936215">
        <w:rPr>
          <w:rFonts w:cs="Times New Roman"/>
          <w:szCs w:val="30"/>
        </w:rPr>
        <w:t>9</w:t>
      </w:r>
      <w:r w:rsidRPr="00936215">
        <w:rPr>
          <w:rFonts w:cs="Times New Roman"/>
          <w:szCs w:val="30"/>
        </w:rPr>
        <w:t>）高校</w:t>
      </w:r>
      <w:r w:rsidRPr="00936215">
        <w:rPr>
          <w:rFonts w:cs="Times New Roman"/>
          <w:kern w:val="0"/>
          <w:szCs w:val="30"/>
        </w:rPr>
        <w:t>供暖节能与用户舒适度关系的研究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kern w:val="0"/>
          <w:szCs w:val="30"/>
        </w:rPr>
        <w:t>（</w:t>
      </w:r>
      <w:r w:rsidRPr="00936215">
        <w:rPr>
          <w:rFonts w:cs="Times New Roman"/>
          <w:kern w:val="0"/>
          <w:szCs w:val="30"/>
        </w:rPr>
        <w:t>10</w:t>
      </w:r>
      <w:r w:rsidRPr="00936215">
        <w:rPr>
          <w:rFonts w:cs="Times New Roman"/>
          <w:kern w:val="0"/>
          <w:szCs w:val="30"/>
        </w:rPr>
        <w:t>）</w:t>
      </w:r>
      <w:r w:rsidRPr="00936215">
        <w:rPr>
          <w:rFonts w:cs="Times New Roman"/>
          <w:szCs w:val="30"/>
        </w:rPr>
        <w:t>高校二次供水系统运行与维护标准研究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eastAsia="黑体" w:cs="Times New Roman"/>
          <w:szCs w:val="30"/>
        </w:rPr>
      </w:pPr>
      <w:r w:rsidRPr="00936215">
        <w:rPr>
          <w:rFonts w:eastAsia="黑体" w:cs="Times New Roman"/>
          <w:szCs w:val="30"/>
        </w:rPr>
        <w:t xml:space="preserve">2. </w:t>
      </w:r>
      <w:r w:rsidRPr="00936215">
        <w:rPr>
          <w:rFonts w:eastAsia="黑体" w:cs="Times New Roman"/>
          <w:szCs w:val="30"/>
        </w:rPr>
        <w:t>加强学校后勤安全稳定的研究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</w:t>
      </w:r>
      <w:r w:rsidRPr="00936215">
        <w:rPr>
          <w:rFonts w:cs="Times New Roman"/>
          <w:szCs w:val="30"/>
        </w:rPr>
        <w:t>）高校食堂安全隐患排查和预防措施研究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2</w:t>
      </w:r>
      <w:r w:rsidRPr="00936215">
        <w:rPr>
          <w:rFonts w:cs="Times New Roman"/>
          <w:szCs w:val="30"/>
        </w:rPr>
        <w:t>）高校公寓安全隐患排查和预防措施研究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3</w:t>
      </w:r>
      <w:r w:rsidRPr="00936215">
        <w:rPr>
          <w:rFonts w:cs="Times New Roman"/>
          <w:szCs w:val="30"/>
        </w:rPr>
        <w:t>）高校校园安全隐患排查和预防措施研究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4</w:t>
      </w:r>
      <w:r w:rsidRPr="00936215">
        <w:rPr>
          <w:rFonts w:cs="Times New Roman"/>
          <w:szCs w:val="30"/>
        </w:rPr>
        <w:t>）高校校园超市隐患排查和预防措施研究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5</w:t>
      </w:r>
      <w:r w:rsidRPr="00936215">
        <w:rPr>
          <w:rFonts w:cs="Times New Roman"/>
          <w:szCs w:val="30"/>
        </w:rPr>
        <w:t>）学校后勤服务外包监管与风险防范研究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6</w:t>
      </w:r>
      <w:r w:rsidRPr="00936215">
        <w:rPr>
          <w:rFonts w:cs="Times New Roman"/>
          <w:szCs w:val="30"/>
        </w:rPr>
        <w:t>）学校后勤突发事件应急预案研究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7</w:t>
      </w:r>
      <w:r w:rsidRPr="00936215">
        <w:rPr>
          <w:rFonts w:cs="Times New Roman"/>
          <w:szCs w:val="30"/>
        </w:rPr>
        <w:t>）高校后勤内控机制管理与实践研究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8</w:t>
      </w:r>
      <w:r w:rsidRPr="00936215">
        <w:rPr>
          <w:rFonts w:cs="Times New Roman"/>
          <w:szCs w:val="30"/>
        </w:rPr>
        <w:t>）提升学生公寓安全教育与逃生能力研究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color w:val="FF0000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9</w:t>
      </w:r>
      <w:r w:rsidRPr="00936215">
        <w:rPr>
          <w:rFonts w:cs="Times New Roman"/>
          <w:szCs w:val="30"/>
        </w:rPr>
        <w:t>）提升高校后勤思想文化建设效能研究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eastAsia="黑体" w:cs="Times New Roman"/>
          <w:szCs w:val="30"/>
        </w:rPr>
      </w:pPr>
      <w:r w:rsidRPr="00936215">
        <w:rPr>
          <w:rFonts w:eastAsia="黑体" w:cs="Times New Roman"/>
          <w:szCs w:val="30"/>
        </w:rPr>
        <w:t xml:space="preserve">3. </w:t>
      </w:r>
      <w:r w:rsidRPr="00936215">
        <w:rPr>
          <w:rFonts w:eastAsia="黑体" w:cs="Times New Roman"/>
          <w:szCs w:val="30"/>
        </w:rPr>
        <w:t>校园服务管理现代化的研究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</w:t>
      </w:r>
      <w:r w:rsidRPr="00936215">
        <w:rPr>
          <w:rFonts w:cs="Times New Roman"/>
          <w:szCs w:val="30"/>
        </w:rPr>
        <w:t>）现代大学后勤成本与效率效益研究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2</w:t>
      </w:r>
      <w:r w:rsidRPr="00936215">
        <w:rPr>
          <w:rFonts w:cs="Times New Roman"/>
          <w:szCs w:val="30"/>
        </w:rPr>
        <w:t>）高校后勤智能化的成本与效益研究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3</w:t>
      </w:r>
      <w:r w:rsidRPr="00936215">
        <w:rPr>
          <w:rFonts w:cs="Times New Roman"/>
          <w:szCs w:val="30"/>
        </w:rPr>
        <w:t>）现代大学后勤从业人员培训研究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4</w:t>
      </w:r>
      <w:r w:rsidRPr="00936215">
        <w:rPr>
          <w:rFonts w:cs="Times New Roman"/>
          <w:szCs w:val="30"/>
        </w:rPr>
        <w:t>）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双一流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建设背景下高校后勤内涵发展研究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5</w:t>
      </w:r>
      <w:r w:rsidRPr="00936215">
        <w:rPr>
          <w:rFonts w:cs="Times New Roman"/>
          <w:szCs w:val="30"/>
        </w:rPr>
        <w:t>）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双创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背景下高职院校产业育人平台研究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6</w:t>
      </w:r>
      <w:r w:rsidRPr="00936215">
        <w:rPr>
          <w:rFonts w:cs="Times New Roman"/>
          <w:szCs w:val="30"/>
        </w:rPr>
        <w:t>）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可视化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管理提升高校后勤工作质量研究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7</w:t>
      </w:r>
      <w:r w:rsidRPr="00936215">
        <w:rPr>
          <w:rFonts w:cs="Times New Roman"/>
          <w:szCs w:val="30"/>
        </w:rPr>
        <w:t>）基于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云物大智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平台的高校后勤发展研究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8</w:t>
      </w:r>
      <w:r w:rsidRPr="00936215">
        <w:rPr>
          <w:rFonts w:cs="Times New Roman"/>
          <w:szCs w:val="30"/>
        </w:rPr>
        <w:t>）新时代高校后勤党组织对标争优建设工作研究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9</w:t>
      </w:r>
      <w:r w:rsidRPr="00936215">
        <w:rPr>
          <w:rFonts w:cs="Times New Roman"/>
          <w:szCs w:val="30"/>
        </w:rPr>
        <w:t>）现代大学校园植物景观与生态水体建设研究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10</w:t>
      </w:r>
      <w:r w:rsidRPr="00936215">
        <w:rPr>
          <w:rFonts w:cs="Times New Roman"/>
          <w:szCs w:val="30"/>
        </w:rPr>
        <w:t>）新时代高校后勤宣传与教育工作创新研究</w:t>
      </w:r>
    </w:p>
    <w:p w:rsidR="00162EEE" w:rsidRPr="00F23CCC" w:rsidRDefault="00162EEE" w:rsidP="00372DF0">
      <w:pPr>
        <w:spacing w:line="500" w:lineRule="exact"/>
        <w:ind w:firstLineChars="200" w:firstLine="600"/>
        <w:rPr>
          <w:rFonts w:eastAsia="黑体" w:cs="Times New Roman"/>
          <w:szCs w:val="30"/>
        </w:rPr>
      </w:pPr>
      <w:r w:rsidRPr="00F23CCC">
        <w:rPr>
          <w:rFonts w:eastAsia="黑体" w:cs="Times New Roman"/>
          <w:szCs w:val="30"/>
        </w:rPr>
        <w:t>4</w:t>
      </w:r>
      <w:r w:rsidRPr="00F23CCC">
        <w:rPr>
          <w:rFonts w:eastAsia="黑体" w:cs="Times New Roman"/>
          <w:szCs w:val="30"/>
        </w:rPr>
        <w:t>．充分发挥高校后勤育人功能的研究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</w:t>
      </w:r>
      <w:r w:rsidRPr="00936215">
        <w:rPr>
          <w:rFonts w:cs="Times New Roman"/>
          <w:szCs w:val="30"/>
        </w:rPr>
        <w:t>）立德树人视角下高校后勤育人功能研究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2</w:t>
      </w:r>
      <w:r w:rsidRPr="00936215">
        <w:rPr>
          <w:rFonts w:cs="Times New Roman"/>
          <w:szCs w:val="30"/>
        </w:rPr>
        <w:t>）高校学生餐饮管理服务育人功能研究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3</w:t>
      </w:r>
      <w:r w:rsidRPr="00936215">
        <w:rPr>
          <w:rFonts w:cs="Times New Roman"/>
          <w:szCs w:val="30"/>
        </w:rPr>
        <w:t>）高校学生公寓管理服务育人功能研究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4</w:t>
      </w:r>
      <w:r w:rsidRPr="00936215">
        <w:rPr>
          <w:rFonts w:cs="Times New Roman"/>
          <w:szCs w:val="30"/>
        </w:rPr>
        <w:t>）高校校园物业管理服务育人功能研究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lastRenderedPageBreak/>
        <w:t>（</w:t>
      </w:r>
      <w:r w:rsidRPr="00936215">
        <w:rPr>
          <w:rFonts w:cs="Times New Roman"/>
          <w:szCs w:val="30"/>
        </w:rPr>
        <w:t>5</w:t>
      </w:r>
      <w:r w:rsidRPr="00936215">
        <w:rPr>
          <w:rFonts w:cs="Times New Roman"/>
          <w:szCs w:val="30"/>
        </w:rPr>
        <w:t>）高校后勤接纳学生勤工俭学运行机制研究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6</w:t>
      </w:r>
      <w:r w:rsidRPr="00936215">
        <w:rPr>
          <w:rFonts w:cs="Times New Roman"/>
          <w:szCs w:val="30"/>
        </w:rPr>
        <w:t>）基于劳动育人的高校后勤课程体系建设研究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7</w:t>
      </w:r>
      <w:r w:rsidRPr="00936215">
        <w:rPr>
          <w:rFonts w:cs="Times New Roman"/>
          <w:szCs w:val="30"/>
        </w:rPr>
        <w:t>）大学生心理健康教育进公寓的路径与创新研究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8</w:t>
      </w:r>
      <w:r w:rsidRPr="00936215">
        <w:rPr>
          <w:rFonts w:cs="Times New Roman"/>
          <w:szCs w:val="30"/>
        </w:rPr>
        <w:t>）高校学生公寓党建工作与学生管理相结合研究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9</w:t>
      </w:r>
      <w:r w:rsidRPr="00936215">
        <w:rPr>
          <w:rFonts w:cs="Times New Roman"/>
          <w:szCs w:val="30"/>
        </w:rPr>
        <w:t>）基于移动应用的公寓区智慧管理体系建设研究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10</w:t>
      </w:r>
      <w:r w:rsidRPr="00936215">
        <w:rPr>
          <w:rFonts w:cs="Times New Roman"/>
          <w:szCs w:val="30"/>
        </w:rPr>
        <w:t>）高校食堂校内配送服务与利弊得失的研究</w:t>
      </w:r>
    </w:p>
    <w:p w:rsidR="00162EEE" w:rsidRPr="00F23CCC" w:rsidRDefault="00162EEE" w:rsidP="00372DF0">
      <w:pPr>
        <w:spacing w:line="500" w:lineRule="exact"/>
        <w:ind w:firstLineChars="200" w:firstLine="600"/>
        <w:rPr>
          <w:rFonts w:eastAsia="黑体" w:cs="Times New Roman"/>
          <w:szCs w:val="30"/>
        </w:rPr>
      </w:pPr>
      <w:r w:rsidRPr="00F23CCC">
        <w:rPr>
          <w:rFonts w:eastAsia="黑体" w:cs="Times New Roman"/>
          <w:szCs w:val="30"/>
        </w:rPr>
        <w:t>5</w:t>
      </w:r>
      <w:r w:rsidRPr="00F23CCC">
        <w:rPr>
          <w:rFonts w:eastAsia="黑体" w:cs="Times New Roman"/>
          <w:szCs w:val="30"/>
        </w:rPr>
        <w:t>．深化高校后勤改革的研究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</w:t>
      </w:r>
      <w:r w:rsidRPr="00936215">
        <w:rPr>
          <w:rFonts w:cs="Times New Roman"/>
          <w:szCs w:val="30"/>
        </w:rPr>
        <w:t>）高校设立总务长岗位研究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2</w:t>
      </w:r>
      <w:r w:rsidRPr="00936215">
        <w:rPr>
          <w:rFonts w:cs="Times New Roman"/>
          <w:szCs w:val="30"/>
        </w:rPr>
        <w:t>）高校干部轮岗对后勤工作的影响研究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3</w:t>
      </w:r>
      <w:r w:rsidRPr="00936215">
        <w:rPr>
          <w:rFonts w:cs="Times New Roman"/>
          <w:szCs w:val="30"/>
        </w:rPr>
        <w:t>）高校后勤实体生存质量与前途出路研究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4</w:t>
      </w:r>
      <w:r w:rsidRPr="00936215">
        <w:rPr>
          <w:rFonts w:cs="Times New Roman"/>
          <w:szCs w:val="30"/>
        </w:rPr>
        <w:t>）高校学生公寓不同管理体制的比较研究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5</w:t>
      </w:r>
      <w:r w:rsidRPr="00936215">
        <w:rPr>
          <w:rFonts w:cs="Times New Roman"/>
          <w:szCs w:val="30"/>
        </w:rPr>
        <w:t>）高校后勤实体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非编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用工长效机制研究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6</w:t>
      </w:r>
      <w:r w:rsidRPr="00936215">
        <w:rPr>
          <w:rFonts w:cs="Times New Roman"/>
          <w:szCs w:val="30"/>
        </w:rPr>
        <w:t>）高校留学生和外国专家后勤服务保障研究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7</w:t>
      </w:r>
      <w:r w:rsidRPr="00936215">
        <w:rPr>
          <w:rFonts w:cs="Times New Roman"/>
          <w:szCs w:val="30"/>
        </w:rPr>
        <w:t>）</w:t>
      </w:r>
      <w:r w:rsidRPr="00936215">
        <w:rPr>
          <w:rFonts w:cs="Times New Roman"/>
          <w:szCs w:val="30"/>
        </w:rPr>
        <w:t>“</w:t>
      </w:r>
      <w:r w:rsidRPr="00936215">
        <w:rPr>
          <w:rFonts w:cs="Times New Roman"/>
          <w:szCs w:val="30"/>
        </w:rPr>
        <w:t>以需求为导向</w:t>
      </w:r>
      <w:r w:rsidRPr="00936215">
        <w:rPr>
          <w:rFonts w:cs="Times New Roman"/>
          <w:szCs w:val="30"/>
        </w:rPr>
        <w:t>”</w:t>
      </w:r>
      <w:r w:rsidRPr="00936215">
        <w:rPr>
          <w:rFonts w:cs="Times New Roman"/>
          <w:szCs w:val="30"/>
        </w:rPr>
        <w:t>的高校后勤体制与机制研究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8</w:t>
      </w:r>
      <w:r w:rsidRPr="00936215">
        <w:rPr>
          <w:rFonts w:cs="Times New Roman"/>
          <w:szCs w:val="30"/>
        </w:rPr>
        <w:t>）高校节能管理体制与运行机制校际比较研究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9</w:t>
      </w:r>
      <w:r w:rsidRPr="00936215">
        <w:rPr>
          <w:rFonts w:cs="Times New Roman"/>
          <w:szCs w:val="30"/>
        </w:rPr>
        <w:t>）高校老校区后勤服务外包的问题及对策研究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10</w:t>
      </w:r>
      <w:r w:rsidRPr="00936215">
        <w:rPr>
          <w:rFonts w:cs="Times New Roman"/>
          <w:szCs w:val="30"/>
        </w:rPr>
        <w:t>）高校宾馆管理服务提质增效和转型升级研究</w:t>
      </w:r>
    </w:p>
    <w:p w:rsidR="00162EEE" w:rsidRPr="00936215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936215">
        <w:rPr>
          <w:rFonts w:cs="Times New Roman"/>
          <w:szCs w:val="30"/>
        </w:rPr>
        <w:t>（</w:t>
      </w:r>
      <w:r w:rsidRPr="00936215">
        <w:rPr>
          <w:rFonts w:cs="Times New Roman"/>
          <w:szCs w:val="30"/>
        </w:rPr>
        <w:t>11</w:t>
      </w:r>
      <w:r w:rsidRPr="00936215">
        <w:rPr>
          <w:rFonts w:cs="Times New Roman"/>
          <w:szCs w:val="30"/>
        </w:rPr>
        <w:t>）高职院校后勤教育资源开发利用与创新研究</w:t>
      </w:r>
    </w:p>
    <w:p w:rsidR="00970C6C" w:rsidRDefault="00970C6C" w:rsidP="00635E8A">
      <w:pPr>
        <w:widowControl/>
        <w:spacing w:line="500" w:lineRule="exact"/>
        <w:rPr>
          <w:rFonts w:cs="Times New Roman"/>
          <w:szCs w:val="30"/>
        </w:rPr>
      </w:pPr>
      <w:bookmarkStart w:id="1" w:name="_GoBack"/>
      <w:bookmarkEnd w:id="1"/>
    </w:p>
    <w:sectPr w:rsidR="00970C6C" w:rsidSect="00635E8A">
      <w:pgSz w:w="11907" w:h="16840"/>
      <w:pgMar w:top="1304" w:right="1797" w:bottom="1440" w:left="1797" w:header="102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FF" w:rsidRDefault="00E96BFF" w:rsidP="00190ABB">
      <w:r>
        <w:separator/>
      </w:r>
    </w:p>
  </w:endnote>
  <w:endnote w:type="continuationSeparator" w:id="0">
    <w:p w:rsidR="00E96BFF" w:rsidRDefault="00E96BFF" w:rsidP="0019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FF" w:rsidRDefault="00E96BFF" w:rsidP="00190ABB">
      <w:r>
        <w:separator/>
      </w:r>
    </w:p>
  </w:footnote>
  <w:footnote w:type="continuationSeparator" w:id="0">
    <w:p w:rsidR="00E96BFF" w:rsidRDefault="00E96BFF" w:rsidP="0019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EE"/>
    <w:rsid w:val="00037265"/>
    <w:rsid w:val="00096D06"/>
    <w:rsid w:val="000A3B54"/>
    <w:rsid w:val="000C5B6B"/>
    <w:rsid w:val="001105BA"/>
    <w:rsid w:val="00127256"/>
    <w:rsid w:val="00162EEE"/>
    <w:rsid w:val="00190ABB"/>
    <w:rsid w:val="001A14E5"/>
    <w:rsid w:val="001A1E95"/>
    <w:rsid w:val="001A34FC"/>
    <w:rsid w:val="001F395D"/>
    <w:rsid w:val="001F6086"/>
    <w:rsid w:val="00216DA8"/>
    <w:rsid w:val="002C5E06"/>
    <w:rsid w:val="002F4953"/>
    <w:rsid w:val="00301B10"/>
    <w:rsid w:val="00312F21"/>
    <w:rsid w:val="00372DF0"/>
    <w:rsid w:val="0038677D"/>
    <w:rsid w:val="003C4259"/>
    <w:rsid w:val="003C557E"/>
    <w:rsid w:val="003D0409"/>
    <w:rsid w:val="00482A3F"/>
    <w:rsid w:val="004A1D5D"/>
    <w:rsid w:val="004B0784"/>
    <w:rsid w:val="00514F25"/>
    <w:rsid w:val="0052723A"/>
    <w:rsid w:val="0062533D"/>
    <w:rsid w:val="00635E8A"/>
    <w:rsid w:val="007E3D53"/>
    <w:rsid w:val="00836310"/>
    <w:rsid w:val="008805CD"/>
    <w:rsid w:val="008B48B7"/>
    <w:rsid w:val="008B5A80"/>
    <w:rsid w:val="00902EFE"/>
    <w:rsid w:val="00936215"/>
    <w:rsid w:val="00970C6C"/>
    <w:rsid w:val="009B268D"/>
    <w:rsid w:val="00A66859"/>
    <w:rsid w:val="00AB253D"/>
    <w:rsid w:val="00B11350"/>
    <w:rsid w:val="00C1287F"/>
    <w:rsid w:val="00C203DA"/>
    <w:rsid w:val="00C211CD"/>
    <w:rsid w:val="00C21DAB"/>
    <w:rsid w:val="00C330B5"/>
    <w:rsid w:val="00C42C47"/>
    <w:rsid w:val="00C50419"/>
    <w:rsid w:val="00C73CF5"/>
    <w:rsid w:val="00CA5559"/>
    <w:rsid w:val="00CD2EB3"/>
    <w:rsid w:val="00D620E1"/>
    <w:rsid w:val="00D73095"/>
    <w:rsid w:val="00DC3633"/>
    <w:rsid w:val="00DD30AC"/>
    <w:rsid w:val="00E07348"/>
    <w:rsid w:val="00E649BD"/>
    <w:rsid w:val="00E90D54"/>
    <w:rsid w:val="00E96BFF"/>
    <w:rsid w:val="00EA726E"/>
    <w:rsid w:val="00F160F9"/>
    <w:rsid w:val="00F23CCC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42CBC-554E-4543-8577-AE691FA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936215"/>
    <w:pPr>
      <w:widowControl w:val="0"/>
      <w:jc w:val="both"/>
    </w:pPr>
    <w:rPr>
      <w:rFonts w:ascii="Times New Roman" w:eastAsia="仿宋_GB2312" w:hAnsi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eastAsiaTheme="majorEastAsia" w:cs="Times New Roman"/>
      <w:bCs/>
      <w:caps/>
      <w:noProof/>
      <w:sz w:val="21"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62EEE"/>
    <w:rPr>
      <w:color w:val="0000FF"/>
      <w:u w:val="single"/>
    </w:rPr>
  </w:style>
  <w:style w:type="paragraph" w:styleId="ae">
    <w:name w:val="Balloon Text"/>
    <w:basedOn w:val="a"/>
    <w:link w:val="Char9"/>
    <w:uiPriority w:val="99"/>
    <w:semiHidden/>
    <w:unhideWhenUsed/>
    <w:rsid w:val="00CD2EB3"/>
    <w:rPr>
      <w:sz w:val="18"/>
      <w:szCs w:val="18"/>
    </w:rPr>
  </w:style>
  <w:style w:type="character" w:customStyle="1" w:styleId="Char9">
    <w:name w:val="批注框文本 Char"/>
    <w:basedOn w:val="a0"/>
    <w:link w:val="ae"/>
    <w:uiPriority w:val="99"/>
    <w:semiHidden/>
    <w:rsid w:val="00CD2EB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4</cp:revision>
  <cp:lastPrinted>2019-03-20T03:31:00Z</cp:lastPrinted>
  <dcterms:created xsi:type="dcterms:W3CDTF">2019-03-25T06:15:00Z</dcterms:created>
  <dcterms:modified xsi:type="dcterms:W3CDTF">2019-03-25T06:16:00Z</dcterms:modified>
</cp:coreProperties>
</file>