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93" w:rsidRDefault="00D07C93" w:rsidP="00D07C93">
      <w:pPr>
        <w:ind w:firstLineChars="200" w:firstLine="600"/>
        <w:rPr>
          <w:sz w:val="28"/>
        </w:rPr>
      </w:pPr>
      <w:r w:rsidRPr="00007AC6">
        <w:rPr>
          <w:rFonts w:ascii="仿宋_GB2312" w:eastAsia="仿宋_GB2312" w:hAnsi="仿宋"/>
          <w:sz w:val="30"/>
          <w:szCs w:val="30"/>
        </w:rPr>
        <w:t>附件</w:t>
      </w:r>
      <w:r w:rsidRPr="00007AC6">
        <w:rPr>
          <w:rFonts w:ascii="仿宋_GB2312" w:eastAsia="仿宋_GB2312" w:hAnsi="仿宋" w:hint="eastAsia"/>
          <w:sz w:val="30"/>
          <w:szCs w:val="30"/>
        </w:rPr>
        <w:t>3：</w:t>
      </w:r>
    </w:p>
    <w:p w:rsidR="00D07C93" w:rsidRPr="005D61F4" w:rsidRDefault="00D07C93" w:rsidP="00D07C93">
      <w:pPr>
        <w:ind w:firstLineChars="200" w:firstLine="560"/>
        <w:jc w:val="center"/>
        <w:rPr>
          <w:rFonts w:ascii="华文中宋" w:eastAsia="华文中宋" w:hAnsi="华文中宋"/>
          <w:sz w:val="28"/>
        </w:rPr>
      </w:pPr>
      <w:r w:rsidRPr="005D61F4">
        <w:rPr>
          <w:rFonts w:ascii="华文中宋" w:eastAsia="华文中宋" w:hAnsi="华文中宋" w:hint="eastAsia"/>
          <w:sz w:val="28"/>
        </w:rPr>
        <w:t>高校后勤优秀物业服务项目评选标准</w:t>
      </w:r>
    </w:p>
    <w:p w:rsidR="00D07C93" w:rsidRDefault="00D07C93" w:rsidP="00D07C93">
      <w:pPr>
        <w:spacing w:line="240" w:lineRule="exact"/>
        <w:ind w:firstLineChars="200" w:firstLine="560"/>
        <w:jc w:val="center"/>
        <w:rPr>
          <w:rFonts w:ascii="黑体" w:eastAsia="黑体" w:hAnsi="黑体"/>
          <w:sz w:val="28"/>
        </w:rPr>
      </w:pPr>
    </w:p>
    <w:tbl>
      <w:tblPr>
        <w:tblW w:w="9018" w:type="dxa"/>
        <w:tblInd w:w="-121" w:type="dxa"/>
        <w:tblLayout w:type="fixed"/>
        <w:tblLook w:val="0000"/>
      </w:tblPr>
      <w:tblGrid>
        <w:gridCol w:w="1222"/>
        <w:gridCol w:w="992"/>
        <w:gridCol w:w="2410"/>
        <w:gridCol w:w="3260"/>
        <w:gridCol w:w="1134"/>
      </w:tblGrid>
      <w:tr w:rsidR="00D07C93" w:rsidRPr="00DB5C06" w:rsidTr="004723C2">
        <w:trPr>
          <w:trHeight w:val="550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核查项目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核查内容及分值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000000"/>
                <w:sz w:val="22"/>
                <w:szCs w:val="20"/>
              </w:rPr>
            </w:pPr>
            <w:r w:rsidRPr="00DB5C06">
              <w:rPr>
                <w:rFonts w:ascii="新宋体" w:eastAsia="新宋体" w:hAnsi="新宋体" w:hint="eastAsia"/>
                <w:b/>
                <w:color w:val="000000"/>
                <w:sz w:val="22"/>
                <w:szCs w:val="20"/>
              </w:rPr>
              <w:t>核查得分</w:t>
            </w:r>
          </w:p>
        </w:tc>
      </w:tr>
      <w:tr w:rsidR="00D07C93" w:rsidRPr="00DB5C06" w:rsidTr="004723C2">
        <w:trPr>
          <w:trHeight w:val="818"/>
        </w:trPr>
        <w:tc>
          <w:tcPr>
            <w:tcW w:w="1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一、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状</w:t>
            </w:r>
          </w:p>
          <w:p w:rsidR="00D07C93" w:rsidRPr="00DB5C06" w:rsidRDefault="00D07C93" w:rsidP="004723C2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(10分)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1、服务项目运行正常，基础服务内容不少于四项。（8分）。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现场各项服务工作有序进行，每具备一项基础服务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2分，最高8分。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1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2、基础物业服务工作到位，具备信息化物业服务手段。（2分）。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具备得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2分，无0分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二、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企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业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制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度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建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立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及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内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部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（30分）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1、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规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章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制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度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方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面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（12分）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①建立健全各项管理制度、各岗位工作标准，并制定具体的落实措施和考核办法（3分）；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查看≥3项管理制度（如：应急预案、突发事件处理制度等)，制度健全得3分，缺项每发现一处扣1分，扣完为止；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②建立项目内部管理运作及考核制度（3分）；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明确各岗位人员工作职责，制定考核细则，并按要求规范考核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③有完善的工作流程，如：监控、消防、巡查工作流程等（3分）；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查看各岗位工作流程，缺项每发现一处扣一分，扣完为止；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781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④有完善的各项工作记录，如：有房屋修缮、业主回访记录，门岗有详细来访及车辆进出登记等（3分）。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检查各项工作记录，无工作记录或工作记录填写不规范，每发现一次扣一分，扣完为止。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96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 2、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员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素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(8分)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①有相应物业专业人员以及工程、管理、经济等相关专业类的专职技术人员（3分）；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检查在岗人员上岗证书，符合规定的得3分，未达到规定要求的少一人扣1分，扣完为止；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575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②项目经理熟悉本项目物业服务情况、各岗位人员熟悉本岗位责任制及考核标准（3分）；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项目经理能够正确叙述服务项目情况，得1分，抽查不同岗位部分人员，发现有不熟悉所在岗位情况、制度、标准的每人扣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分，扣完2分为止；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57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③着装规范，服务意识和态度好、言行规范，精神面貌好（2分）。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符合得2分，有一项不符合扣1分。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2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3、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档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同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(7分)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服务项目档案管理资料及目录全面、完善。如：有物业管理委托合同、有相关档案资料等（7分）。</w:t>
            </w:r>
            <w:r w:rsidRPr="00DB5C06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各项档案资料齐全、管理完善、分类合理、方便查阅，符合得7分，不符合每一项扣1分。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891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4、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标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统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(3分)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建立规范的标识管理系统，正确使用标识系统（3分）。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各项标识系统张贴、使用合理，为校园服务提供规范标识指引。不规范使用每一项扣1分，扣完为止。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691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 四、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综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与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平</w:t>
            </w:r>
          </w:p>
          <w:p w:rsidR="00D07C93" w:rsidRPr="00DB5C06" w:rsidRDefault="00D07C93" w:rsidP="004723C2">
            <w:pPr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（60分）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1、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环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境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卫生及绿化养护</w:t>
            </w:r>
          </w:p>
          <w:p w:rsidR="00D07C93" w:rsidRPr="00DB5C06" w:rsidRDefault="00D07C93" w:rsidP="004723C2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①设有必要的垃圾箱、果皮箱、垃圾中转站等保洁设备，设备齐全完好，干净整洁；垃圾清运及时（3分）；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2409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ind w:left="360" w:firstLineChars="200" w:firstLine="42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②房屋共用部位保持清洁，无乱贴、乱画和堆放杂物现象；大厅、楼梯扶拦、共用玻璃窗等保持洁净；楼宇内共用场地无纸屑、烟头等废弃物（4分）；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符合得4分，有一项不符合扣1分，扣完为止；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2004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ind w:left="360" w:firstLineChars="200" w:firstLine="42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③服务区域内环境及环卫设施随时保持清洁并有计划进行环境消毒、除害工作；（4分）；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符合得4分，有一项不符合扣1分，扣完为止；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113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④绿化布局合理，养护管理完善，绿地无纸屑、烟头、石地等杂物（4分）。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112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2、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秩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序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护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①消防设施设备完好无损，有预案，定期有消防演练；（3分）；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83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②公共场所有安全警示标志；（3分）；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符合得3分，不符合0分；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5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③年度内无重大治安、消防事故；（3分）；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符合得3分，不符合0分；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1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④车辆停放整齐、管理有序，无堵塞交通现象，不影响行人通行（3分）；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8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⑤非机动车车辆有集中停放场地，停放整齐，场地整洁。（3分）。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55"/>
        </w:trPr>
        <w:tc>
          <w:tcPr>
            <w:tcW w:w="1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3、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设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施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设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备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及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工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修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①房屋外观完好、整洁；无违反规划私搭乱建现象（2分）。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 w:rsidRPr="006509C3"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15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②设施设备运行、使用及维护按规定要求有记录，无事故隐患，由专业人员和维修人员严格遵守操作规定和保养规范（3分）。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③制订设备安全运行、岗位责任制、定期巡回检查、维护保养、运行记录管理、维修档案等管理制度，并严格执行（3分）。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④设备间、机房环境整洁，无杂物、灰尘，无鼠、虫害发生，机房环境符合设备要求（2分）。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符合得2分，发现一处不符合扣1分。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⑤报修记录详细，维修及时。（3分）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⑥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设备良好，运行正常，一年内无重大管理责任事故（2分）。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  4、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公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寓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（15分）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lastRenderedPageBreak/>
              <w:t>①有详细的学生住宿情况记录，管理人员了解学生住宿状况。（3分）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②宿舍卫生状况良好，无积累垃圾，无异味。（3分）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③值班岗位各项记录完善，准确。（3分）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④营造良好公寓文化，每学期公寓文化主体活动不少于2次。（4分）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每具备一项次得2分，最多4分。不符合0分。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⑤无重大管理责任事故发生。（2分）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5、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辅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助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（15分）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①教务辅助服务项目运行正常，服务内容为图书管理、多媒体教室管理、体育场馆管理等教学辅助服务。（6分）。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每具备一项次得2分，最多6分。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②教务辅助服务管理规范，符合教学相关要求（3分）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3分，不符合0分。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③教务辅助服务具备规范工作流程、相应作业记录及管理到位（4分）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④无教务辅助责任事故，无影响正常教学辅助现象。（分2）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664E5" w:rsidRPr="00CB40EC" w:rsidRDefault="00A664E5" w:rsidP="00A664E5">
      <w:pPr>
        <w:spacing w:line="40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CB40EC">
        <w:rPr>
          <w:rFonts w:ascii="仿宋_GB2312" w:eastAsia="仿宋_GB2312" w:hAnsi="仿宋" w:hint="eastAsia"/>
          <w:sz w:val="30"/>
          <w:szCs w:val="30"/>
        </w:rPr>
        <w:t>备注：第四部分综合管理与服务水平采用综合打分法，依据实际服务内容，选择最终得分较高的四项次之和为该项次最终得分。</w:t>
      </w:r>
    </w:p>
    <w:p w:rsidR="00EB08A6" w:rsidRPr="00A664E5" w:rsidRDefault="00EB08A6"/>
    <w:sectPr w:rsidR="00EB08A6" w:rsidRPr="00A664E5" w:rsidSect="0029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47" w:rsidRDefault="002B2F47" w:rsidP="00D07C93">
      <w:r>
        <w:separator/>
      </w:r>
    </w:p>
  </w:endnote>
  <w:endnote w:type="continuationSeparator" w:id="1">
    <w:p w:rsidR="002B2F47" w:rsidRDefault="002B2F47" w:rsidP="00D07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47" w:rsidRDefault="002B2F47" w:rsidP="00D07C93">
      <w:r>
        <w:separator/>
      </w:r>
    </w:p>
  </w:footnote>
  <w:footnote w:type="continuationSeparator" w:id="1">
    <w:p w:rsidR="002B2F47" w:rsidRDefault="002B2F47" w:rsidP="00D07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93"/>
    <w:rsid w:val="00295AD6"/>
    <w:rsid w:val="002B2F47"/>
    <w:rsid w:val="00A664E5"/>
    <w:rsid w:val="00D07C93"/>
    <w:rsid w:val="00EB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2165</Characters>
  <Application>Microsoft Office Word</Application>
  <DocSecurity>0</DocSecurity>
  <Lines>18</Lines>
  <Paragraphs>5</Paragraphs>
  <ScaleCrop>false</ScaleCrop>
  <Company>微软中国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2016-10-21T08:55:00Z</dcterms:created>
  <dcterms:modified xsi:type="dcterms:W3CDTF">2016-10-21T09:29:00Z</dcterms:modified>
</cp:coreProperties>
</file>